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EHV 2020 — Emissionsfaktor beim Einsatz von Biokraftstoffen im Luftverkehr</w:t>
      </w:r>
    </w:p>
    <w:p>
      <w:r>
        <w:rPr>
          <w:color w:val="555555"/>
          <w:sz w:val="18"/>
        </w:rPr>
        <w:t xml:space="preserve">Emissionshandelsverordnung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Einsatz von Biokraftstoffen im Luftverkehr beträgt der Emissionsfaktor Null, soweit die eingesetzten Biokraftstoffe die Nachhaltigkeitsanforderungen der §§ 4 bis 8 der Biokraftstoff-Nachhaltigkeitsverordnung vom 30. September 2009 (BGBl. I S. 3182) erfüllen, die zuletzt durch Artikel 2 der Verordnung vom 26. November 2012 (BGBl. I S. 2363) geändert worden ist, in der jeweils geltenden Fassung. § 3 Absatz 2 und 3 der Biokraftstoff-Nachhaltigkeitsverordnung gilt entsprechend, zu Absatz 3 mit der Maßgabe, dass anstelle des § 3 Absatz 1 der Biokraftstoff-Nachhaltigkeitsverordnung auf Satz 1 abzustellen ist. Für Biokraftstoffe, die aus Abfall oder aus Reststoffen hergestellt worden sind, ist Satz 1 mit der Maßgabe anzuwenden, dass lediglich die Nachhaltigkeitsanforderungen nach § 8 der Biokraftstoff-Nachhaltigkeitsverordnung erfüllt sein müssen; diese Einschränkung gilt nicht für Biokraftstoffe aus Reststoffen der Land-, Forst- oder Fischwirtschaft oder aus Aquakulturen.</w:t>
      </w:r>
    </w:p>
    <w:p>
      <w:r>
        <w:t xml:space="preserve">(2) Die Einhaltung der Anforderungen nach Absatz 1 ist nachzuweisen durch einen anerkannten Nachhaltigkeitsnachweis nach § 14 Nummer 1, 2 oder 3 der Biokraftstoff-Nachhaltigkeitsverordnung oder durch einen Nachhaltigkeits-Teilnachweis nach § 24 der Biokraftstoff-Nachhaltigkeitsverordnung, der in der Datenbank der nach § 66 Absatz 1 Nummer 3 dritter Halbsatz der Biokraftstoff-Nachhaltigkeitsverordnung zuständigen Behörde auf das Konto der nach § 19 Absatz 1 Nummer 3 des Treibhausgas-Emissionshandelsgesetzes zuständigen Behörde überwiesen wird.</w:t>
      </w:r>
    </w:p>
    <w:p>
      <w:r>
        <w:t xml:space="preserve">(3) Für Biokraftstoffe als Bestandteil eines Treibstoffgemischs gelten die Absätze 1 und 2 entsprechend.</w:t>
      </w:r>
    </w:p>
    <w:p>
      <w:r>
        <w:t xml:space="preserve">(4) Soweit die Anforderungen nach den Absätzen 1 bis 3 nicht erfüllt sind, ist der Emissionsfaktor beim Einsatz von Biokraftstoffen nach den Vorgaben der Monitoring-Verordnung zur Ermittlung des Emissionsfaktors für fossile Treibstoffe zu bestimmen.</w:t>
      </w:r>
    </w:p>
    <w:p>
      <w:r>
        <w:rPr>
          <w:color w:val="555555"/>
          <w:sz w:val="17"/>
        </w:rPr>
        <w:t xml:space="preserve">Zitiervorschlag: § 4 EHV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https://recht.nulegal.eu/gesetze/EHV%202020/4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EHV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