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EHV 2020 — Begriffsbestimmungen</w:t>
      </w:r>
    </w:p>
    <w:p>
      <w:r>
        <w:rPr>
          <w:color w:val="555555"/>
          <w:sz w:val="18"/>
        </w:rPr>
        <w:t xml:space="preserve">Emissionshandelsverordnung 2020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diese Verordnung gelten die folgenden Begriffsbestimmungen:</w:t>
      </w:r>
    </w:p>
    <w:p>
      <w:pPr>
        <w:ind w:left="420"/>
      </w:pPr>
      <w:r>
        <w:t xml:space="preserve">1. am wenigsten entwickelte Länder: Staaten, die auf der Liste der am wenigsten entwickelten Länder aufgeführt sind, die vom Wirtschafts- und Sozialrat der Vereinten Nationen beschlossen wurde;</w:t>
      </w:r>
    </w:p>
    <w:p>
      <w:pPr>
        <w:ind w:left="420"/>
      </w:pPr>
      <w:r>
        <w:t xml:space="preserve">2. flüssige Biobrennstoffe: Brennstoffe im Sinne von Artikel 3 Nummer 21 der Monitoring-Verordnung (§ 3 Nummer 10 des Gesetzes), die zum Zeitpunkt des Eintritts in den Brenn- oder Feuerraum flüssig sind;</w:t>
      </w:r>
    </w:p>
    <w:p>
      <w:pPr>
        <w:ind w:left="420"/>
      </w:pPr>
      <w:r>
        <w:t xml:space="preserve">3. Biokraftstoffe: Biokraftstoffe im Sinne von Artikel 3 Nummer 22 der Monitoring-Verordnung;</w:t>
      </w:r>
    </w:p>
    <w:p>
      <w:pPr>
        <w:ind w:left="420"/>
      </w:pPr>
      <w:r>
        <w:t xml:space="preserve">4. Verifizierungs-Verordnung: die Verordnung (EU) Nr. 600/2012 der Kommission vom 21. Juni 2012 über die Prüfung von Treibhausgasemissionsberichten und Tonnenkilometerberichten sowie die Akkreditierung von Prüfstellen gemäß der Richtlinie 2003/87/EG des Europäischen Parlaments und des Rates (ABl. L 181 vom 12.7.2012, S. 1), in der jeweils geltenden Fassung.</w:t>
      </w:r>
    </w:p>
    <w:p>
      <w:r>
        <w:rPr>
          <w:color w:val="555555"/>
          <w:sz w:val="17"/>
        </w:rPr>
        <w:t xml:space="preserve">Zitiervorschlag: § 2 EHV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https://recht.nulegal.eu/gesetze/EHV%202020/2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