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EHV 2020 — Ausschluss von der Zertifizierung</w:t>
      </w:r>
    </w:p>
    <w:p>
      <w:r>
        <w:rPr>
          <w:color w:val="555555"/>
          <w:sz w:val="18"/>
        </w:rPr>
        <w:t xml:space="preserve">Emissionshandelsverordnung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der Zertifizierung als Prüfstelle sind natürliche Personen ausgeschlossen, die</w:t>
      </w:r>
    </w:p>
    <w:p>
      <w:pPr>
        <w:ind w:left="420"/>
      </w:pPr>
      <w:r>
        <w:t xml:space="preserve">1. in einem Beschäftigungsverhältnis mit einer juristischen Person oder einer Personengesellschaft stehen, die nach der Verifizierungs-Verordnung als Prüfstelle akkreditiert ist oder einen Antrag auf eine solche Akkreditierung gestellt hat,</w:t>
      </w:r>
    </w:p>
    <w:p>
      <w:pPr>
        <w:ind w:left="420"/>
      </w:pPr>
      <w:r>
        <w:t xml:space="preserve">2. einem Organ einer juristischen Person oder einer Personengesellschaft nach Nummer 1 angehören oder</w:t>
      </w:r>
    </w:p>
    <w:p>
      <w:pPr>
        <w:ind w:left="420"/>
      </w:pPr>
      <w:r>
        <w:t xml:space="preserve">3. Gesellschafter einer juristischen Person oder einer Personengesellschaft nach Nummer 1 sind; im Fall der Beteiligung an einer Kapitalgesellschaft gilt dies nur, sofern die Beteiligung insgesamt den fünften Teil des Nennkapitals dieser Gesellschaft überschreitet.</w:t>
      </w:r>
    </w:p>
    <w:p>
      <w:r>
        <w:t xml:space="preserve">(2) Im Fall des Absatzes 1 Nummer 1 kann bei einem laufenden Akkreditierungsverfahren über den Antrag auf Zertifizierung als Prüfstelle erst nach der Entscheidung über den Akkreditierungsantrag entschieden werden. Tritt einer der Ausschlussgründe nach Absatz 1 Nummer 1 bis 3 nachträglich ein, hebt die Beliehene die Zertifizierung als Prüfstelle auf.</w:t>
      </w:r>
    </w:p>
    <w:p>
      <w:r>
        <w:rPr>
          <w:color w:val="555555"/>
          <w:sz w:val="17"/>
        </w:rPr>
        <w:t xml:space="preserve">Zitiervorschlag: § 10 EHV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https://recht.nulegal.eu/gesetze/EHV%202020/10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EHV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