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EHV 2020 — Anwendungsbereich und Zweck</w:t>
      </w:r>
    </w:p>
    <w:p>
      <w:r>
        <w:rPr>
          <w:color w:val="555555"/>
          <w:sz w:val="18"/>
        </w:rPr>
        <w:t xml:space="preserve">Emissionshandelsverordnung 2020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innerhalb des Anwendungsbereichs des Treibhausgas-Emissionshandelsgesetzes. Sie dient der Konkretisierung der Anforderungen der §§ 5, 18 und 21 des Treibhausgas-Emissionshandelsgesetzes.</w:t>
      </w:r>
    </w:p>
    <w:p>
      <w:r>
        <w:rPr>
          <w:color w:val="555555"/>
          <w:sz w:val="17"/>
        </w:rPr>
        <w:t xml:space="preserve">Zitiervorschlag: § 1 EHV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https://recht.nulegal.eu/gesetze/EHV%202020/1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