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EGovG — Akteneinsicht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Recht auf Akteneinsicht besteht, können die Behörden des Bundes, die Akten elektronisch führen, Akteneinsicht dadurch gewähren, dass sie</w:t>
      </w:r>
    </w:p>
    <w:p>
      <w:pPr>
        <w:ind w:left="420"/>
      </w:pPr>
      <w:r>
        <w:t xml:space="preserve">1. einen Aktenausdruck zur Verfügung stellen,</w:t>
      </w:r>
    </w:p>
    <w:p>
      <w:pPr>
        <w:ind w:left="420"/>
      </w:pPr>
      <w:r>
        <w:t xml:space="preserve">2. die elektronischen Dokumente auf einem Bildschirm wiedergeben,</w:t>
      </w:r>
    </w:p>
    <w:p>
      <w:pPr>
        <w:ind w:left="420"/>
      </w:pPr>
      <w:r>
        <w:t xml:space="preserve">3. elektronische Dokumente übermitteln oder</w:t>
      </w:r>
    </w:p>
    <w:p>
      <w:pPr>
        <w:ind w:left="420"/>
      </w:pPr>
      <w:r>
        <w:t xml:space="preserve">4. den elektronischen Zugriff auf den Inhalt der Akten gestatten.</w:t>
      </w:r>
    </w:p>
    <w:p>
      <w:r>
        <w:rPr>
          <w:color w:val="555555"/>
          <w:sz w:val="17"/>
        </w:rPr>
        <w:t xml:space="preserve">Zitiervorschlag: § 8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