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EGovG — Übertragen und Vernichten des Papieroriginals</w:t>
      </w:r>
    </w:p>
    <w:p>
      <w:r>
        <w:rPr>
          <w:color w:val="555555"/>
          <w:sz w:val="18"/>
        </w:rPr>
        <w:t xml:space="preserve">E-Government-Gesetz</w:t>
      </w:r>
    </w:p>
    <w:p>
      <w:r>
        <w:rPr>
          <w:color w:val="555555"/>
          <w:sz w:val="18"/>
        </w:rPr>
        <w:t xml:space="preserve">Stand: 10.06.2019 (konsolidierte Textfassung, kein amtliches Inkrafttretensdatum)</w:t>
      </w:r>
    </w:p>
    <w:p>
      <w:r>
        <w:t xml:space="preserve">(1) Die Behörden des Bundes sollen, soweit sie Akten elektronisch führen, an Stelle von Papierdokumenten deren elektronische Wiedergabe in der elektronischen Akte aufbewahren. Bei der Übertragung in elektronische Dokumente ist nach dem Stand der Technik sicherzustellen, dass die elektronischen Dokumente mit den Papierdokumenten bildlich und inhaltlich übereinstimmen, wenn sie lesbar gemacht werden. Von der Übertragung der Papierdokumente in elektronische Dokumente kann abgesehen werden, wenn die Übertragung unverhältnismäßigen technischen Aufwand erfordert.</w:t>
      </w:r>
    </w:p>
    <w:p>
      <w:r>
        <w:t xml:space="preserve">(2) Papierdokumente nach Absatz 1 sollen nach der Übertragung in elektronische Dokumente vernichtet oder zurückgegeben werden, sobald eine weitere Aufbewahrung nicht mehr aus rechtlichen Gründen oder zur Qualitätssicherung des Übertragungsvorgangs erforderlich ist.</w:t>
      </w:r>
    </w:p>
    <w:p>
      <w:r>
        <w:rPr>
          <w:color w:val="555555"/>
          <w:sz w:val="17"/>
        </w:rPr>
        <w:t xml:space="preserve">Zitiervorschlag: § 7 EGovG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https://recht.nulegal.eu/gesetze/EGovG/7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