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6a EGovG — Elektronische Aktenführung</w:t>
      </w:r>
    </w:p>
    <w:p>
      <w:r>
        <w:rPr>
          <w:color w:val="555555"/>
          <w:sz w:val="18"/>
        </w:rPr>
        <w:t xml:space="preserve">E-Government-Gesetz</w:t>
      </w:r>
    </w:p>
    <w:p>
      <w:r>
        <w:rPr>
          <w:color w:val="555555"/>
          <w:sz w:val="18"/>
        </w:rPr>
        <w:t xml:space="preserve">Stand: 24.07.2024 (konsolidierte Textfassung, kein amtliches Inkrafttretensdatum)</w:t>
      </w:r>
    </w:p>
    <w:p>
      <w:r>
        <w:t xml:space="preserve">Die Behörden des Bundes sollen ihre Akten elektronisch führen. Satz 1 gilt nicht für solche Behörden, bei denen das Führen elektronischer Akten bei langfristiger Betrachtung unwirtschaftlich ist. Wird eine Akte elektronisch geführt, ist durch geeignete technisch-organisatorische Maßnahmen nach dem Stand der Technik sicherzustellen, dass die Grundsätze ordnungsgemäßer Aktenführung eingehalten werden.</w:t>
      </w:r>
    </w:p>
    <w:p>
      <w:r>
        <w:rPr>
          <w:color w:val="555555"/>
          <w:sz w:val="17"/>
        </w:rPr>
        <w:t xml:space="preserve">Zitiervorschlag: § 6a EGovG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https://recht.nulegal.eu/gesetze/EGovG/6a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