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EGovG — Grenzüberschreitende Nachweisabrufe</w:t>
      </w:r>
    </w:p>
    <w:p>
      <w:r>
        <w:rPr>
          <w:color w:val="555555"/>
          <w:sz w:val="18"/>
        </w:rPr>
        <w:t xml:space="preserve">E-Government-Gesetz</w:t>
      </w:r>
    </w:p>
    <w:p>
      <w:r>
        <w:rPr>
          <w:color w:val="555555"/>
          <w:sz w:val="18"/>
        </w:rPr>
        <w:t xml:space="preserve">Stand: 24.07.2024 (konsolidierte Textfassung, kein amtliches Inkrafttretensdatum)</w:t>
      </w:r>
    </w:p>
    <w:p>
      <w:r>
        <w:t xml:space="preserve">(1) Die zuständige Behörde darf bei einer Behörde eines anderen Mitgliedstaats der Europäischen Union einen Nachweis nach Artikel 14 Absatz 2 der Verordnung (EU) 2018/1724 des Europäischen Parlaments und des Rates vom 2. Oktober 2018 über die Einrichtung eines einheitlichen digitalen Zugangstors zu Informationen, Verfahren, Hilfs- und Problemlösungsdiensten und zur Änderung der Verordnung (EU) Nr. 1024/2012 (ABl. L 295 vom 21.11.2018, S. 1), die durch die Verordnung (EU) 2022/868 (ABl. L 152 vom 3.6.2022, S.1) geändert worden ist, automatisiert abrufen, wenn dies zur Erfüllung ihrer Aufgaben für eines der Verfahren nach Artikel 14 Absatz 1 der Verordnung (EU) 2018/1724 erforderlich ist.</w:t>
      </w:r>
    </w:p>
    <w:p>
      <w:r>
        <w:t xml:space="preserve">(2) Die automatisierte Übermittlung eines Nachweises nach Artikel 14 Absatz 2 der Verordnung (EU) 2018/1724 an eine Behörde eines anderen Mitgliedstaats der Europäischen Union ist zulässig, wenn diese Behörde zuständig ist und die Übermittlung zur Erfüllung ihrer Aufgaben für eines der Verfahren nach Artikel 14 Absatz 1 der Verordnung (EU) 2018/1724 erforderlich ist.</w:t>
      </w:r>
    </w:p>
    <w:p>
      <w:r>
        <w:t xml:space="preserve">(3) Bei der Verarbeitung personenbezogener Daten nach den Absätzen 1 und 2 können intermediäre Plattformen zum Einsatz kommen.</w:t>
      </w:r>
    </w:p>
    <w:p>
      <w:r>
        <w:rPr>
          <w:color w:val="555555"/>
          <w:sz w:val="17"/>
        </w:rPr>
        <w:t xml:space="preserve">Zitiervorschlag: § 5a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