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EGovG — Elektronischer Zugang zur Verwaltung</w:t>
      </w:r>
    </w:p>
    <w:p>
      <w:r>
        <w:rPr>
          <w:color w:val="555555"/>
          <w:sz w:val="18"/>
        </w:rPr>
        <w:t xml:space="preserve">E-Government-Gesetz</w:t>
      </w:r>
    </w:p>
    <w:p>
      <w:r>
        <w:rPr>
          <w:color w:val="555555"/>
          <w:sz w:val="18"/>
        </w:rPr>
        <w:t xml:space="preserve">Stand: 24.07.2024 (konsolidierte Textfassung, kein amtliches Inkrafttretensdatum)</w:t>
      </w:r>
    </w:p>
    <w:p>
      <w:r>
        <w:t xml:space="preserve">(1) Jede Behörde ist verpflichtet, auch einen Zugang für die Übermittlung elektronischer Dokumente, auch soweit sie mit einer qualifizierten elektronischen Signatur oder einem qualifizierten elektronischen Siegel versehen sind, zu eröffnen.</w:t>
      </w:r>
    </w:p>
    <w:p>
      <w:r>
        <w:t xml:space="preserve">(2) Jede Behörde des Bundes ist verpflichtet, in Verwaltungsverfahren, in denen sie die Identität einer Person auf Grund einer Rechtsvorschrift festzustellen hat oder aus anderen Gründen eine Identifizierung für notwendig erachtet, einen elektronischen Identitätsnachweis nach § 18 des Personalausweisgesetzes, nach § 12 des eID-Karte-Gesetzes oder nach § 78 Absatz 5 des Aufenthaltsgesetzes anzubieten. Mit der Anbindung an das Bürgerkonto nach § 3 Absatz 1 des Onlinezugangsgesetzes wird diese Verpflichtung erfüllt.</w:t>
      </w:r>
    </w:p>
    <w:p>
      <w:r>
        <w:rPr>
          <w:color w:val="555555"/>
          <w:sz w:val="17"/>
        </w:rPr>
        <w:t xml:space="preserve">Zitiervorschlag: § 2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