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EGovG — Anwendungsregelung</w:t>
      </w:r>
    </w:p>
    <w:p>
      <w:r>
        <w:rPr>
          <w:color w:val="555555"/>
          <w:sz w:val="18"/>
        </w:rPr>
        <w:t xml:space="preserve">E-Government-Gesetz</w:t>
      </w:r>
    </w:p>
    <w:p>
      <w:r>
        <w:rPr>
          <w:color w:val="555555"/>
          <w:sz w:val="18"/>
        </w:rPr>
        <w:t xml:space="preserve">Stand: 10.06.2019 (konsolidierte Textfassung, kein amtliches Inkrafttretensdatum)</w:t>
      </w:r>
    </w:p>
    <w:p>
      <w:r>
        <w:t xml:space="preserve">Für subzentrale öffentliche Auftraggeber sowie für Sektorenauftraggeber und für Konzessionsgeber ist § 4a erst ab dem 27. November 2019 anzuwenden. Subzentrale öffentliche Auftraggeber sind alle öffentlichen Auftraggeber, die keine obersten Bundesbehörden sind. Verfassungsorgane des Bundes sind für die Zwecke dieses Gesetzes den obersten Bundesbehörden gleichgestellt.</w:t>
      </w:r>
    </w:p>
    <w:p>
      <w:r>
        <w:rPr>
          <w:color w:val="555555"/>
          <w:sz w:val="17"/>
        </w:rPr>
        <w:t xml:space="preserve">Zitiervorschlag: § 18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