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16a EGovG — Open Source</w:t>
      </w:r>
    </w:p>
    <w:p>
      <w:r>
        <w:rPr>
          <w:color w:val="555555"/>
          <w:sz w:val="18"/>
        </w:rPr>
        <w:t xml:space="preserve">E-Government-Gesetz</w:t>
      </w:r>
    </w:p>
    <w:p>
      <w:r>
        <w:rPr>
          <w:color w:val="555555"/>
          <w:sz w:val="18"/>
        </w:rPr>
        <w:t xml:space="preserve">Stand: 24.07.2024 (konsolidierte Textfassung, kein amtliches Inkrafttretensdatum)</w:t>
      </w:r>
    </w:p>
    <w:p>
      <w:r>
        <w:t xml:space="preserve">Die Behörden des Bundes sollen offene Standards nutzen und bei neu anzuschaffender Software Open-Source-Software vorrangig vor solcher Software beschaffen, deren Quellcode nicht öffentlich zugänglich ist oder deren Lizenz die Verwendung, Weitergabe und Veränderung einschränkt.</w:t>
      </w:r>
    </w:p>
    <w:p>
      <w:r>
        <w:rPr>
          <w:color w:val="555555"/>
          <w:sz w:val="17"/>
        </w:rPr>
        <w:t xml:space="preserve">Zitiervorschlag: § 16a EGovG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https://recht.nulegal.eu/gesetze/EGovG/16a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