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EGovG — Nutzerfreundlichkeit und Barrierefreiheit</w:t>
      </w:r>
    </w:p>
    <w:p>
      <w:r>
        <w:rPr>
          <w:color w:val="555555"/>
          <w:sz w:val="18"/>
        </w:rPr>
        <w:t xml:space="preserve">E-Government-Gesetz</w:t>
      </w:r>
    </w:p>
    <w:p>
      <w:r>
        <w:rPr>
          <w:color w:val="555555"/>
          <w:sz w:val="18"/>
        </w:rPr>
        <w:t xml:space="preserve">Stand: 24.07.2024 (konsolidierte Textfassung, kein amtliches Inkrafttretensdatum)</w:t>
      </w:r>
    </w:p>
    <w:p>
      <w:r>
        <w:t xml:space="preserve">Die Behörden des Bundes gestalten die elektronische Kommunikation und die elektronischen Dokumente nutzerfreundlich und barrierefrei. Für die barrierefreie Gestaltung gilt die Barrierefreie-Informationstechnik-Verordnung entsprechend.</w:t>
      </w:r>
    </w:p>
    <w:p>
      <w:r>
        <w:rPr>
          <w:color w:val="555555"/>
          <w:sz w:val="17"/>
        </w:rPr>
        <w:t xml:space="preserve">Zitiervorschlag: § 16 EGovG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https://recht.nulegal.eu/gesetze/EGovG/16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