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EGovG — Amtliche Mitteilungs- und Verkündungsblätter</w:t>
      </w:r>
    </w:p>
    <w:p>
      <w:r>
        <w:rPr>
          <w:color w:val="555555"/>
          <w:sz w:val="18"/>
        </w:rPr>
        <w:t xml:space="preserve">E-Government-Gesetz</w:t>
      </w:r>
    </w:p>
    <w:p>
      <w:r>
        <w:rPr>
          <w:color w:val="555555"/>
          <w:sz w:val="18"/>
        </w:rPr>
        <w:t xml:space="preserve">Stand: 10.06.2019 (konsolidierte Textfassung, kein amtliches Inkrafttretensdatum)</w:t>
      </w:r>
    </w:p>
    <w:p>
      <w:r>
        <w:t xml:space="preserve">(1) Eine durch Rechtsvorschrift des Bundes bestimmte Pflicht zur Publikation in einem amtlichen Mitteilungs- oder Verkündungsblatt des Bundes, eines Landes oder einer Gemeinde kann unbeschadet des Artikels 82 Absatz 1 des Grundgesetzes zusätzlich oder ausschließlich durch eine elektronische Ausgabe erfüllt werden, wenn diese über öffentlich zugängliche Netze angeboten wird.</w:t>
      </w:r>
    </w:p>
    <w:p>
      <w:r>
        <w:t xml:space="preserve">(2) Jede Person muss einen angemessenen Zugang zu der Publikation haben, insbesondere durch die Möglichkeit, Ausdrucke zu bestellen oder in öffentlichen Einrichtungen auf die Publikation zuzugreifen. Es muss die Möglichkeit bestehen, die Publikation zu abonnieren oder elektronisch einen Hinweis auf neue Publikationen zu erhalten. Gibt es nur eine elektronische Ausgabe, ist dies in öffentlich zugänglichen Netzen auf geeignete Weise bekannt zu machen. Es ist sicherzustellen, dass die publizierten Inhalte allgemein und dauerhaft zugänglich sind und eine Veränderung des Inhalts ausgeschlossen ist. Bei gleichzeitiger Publikation in elektronischer und papiergebundener Form hat die herausgebende Stelle eine Regelung zu treffen, welche Form als die authentische anzusehen ist.</w:t>
      </w:r>
    </w:p>
    <w:p>
      <w:r>
        <w:rPr>
          <w:color w:val="555555"/>
          <w:sz w:val="17"/>
        </w:rPr>
        <w:t xml:space="preserve">Zitiervorschlag: § 15 EGovG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https://recht.nulegal.eu/gesetze/EGovG/15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