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EGovG — Elektronische Formulare</w:t>
      </w:r>
    </w:p>
    <w:p>
      <w:r>
        <w:rPr>
          <w:color w:val="555555"/>
          <w:sz w:val="18"/>
        </w:rPr>
        <w:t xml:space="preserve">E-Government-Gesetz</w:t>
      </w:r>
    </w:p>
    <w:p>
      <w:r>
        <w:rPr>
          <w:color w:val="555555"/>
          <w:sz w:val="18"/>
        </w:rPr>
        <w:t xml:space="preserve">Stand: 10.06.2019 (konsolidierte Textfassung, kein amtliches Inkrafttretensdatum)</w:t>
      </w:r>
    </w:p>
    <w:p>
      <w:r>
        <w:t xml:space="preserve">Ist durch Rechtsvorschrift die Verwendung eines bestimmten Formulars vorgeschrieben, das ein Unterschriftsfeld vorsieht, wird allein dadurch nicht die Anordnung der Schriftform bewirkt. Bei einer für die elektronische Versendung an die Behörde bestimmten Fassung des Formulars entfällt das Unterschriftsfeld.</w:t>
      </w:r>
    </w:p>
    <w:p>
      <w:r>
        <w:rPr>
          <w:color w:val="555555"/>
          <w:sz w:val="17"/>
        </w:rPr>
        <w:t xml:space="preserve">Zitiervorschlag: § 13 EGovG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https://recht.nulegal.eu/gesetze/EGovG/13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