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EGovG — Anforderungen an das Bereitstellen von Daten, Verordnungsermächtigung</w:t>
      </w:r>
    </w:p>
    <w:p>
      <w:r>
        <w:rPr>
          <w:color w:val="555555"/>
          <w:sz w:val="18"/>
        </w:rPr>
        <w:t xml:space="preserve">E-Government-Gesetz</w:t>
      </w:r>
    </w:p>
    <w:p>
      <w:r>
        <w:rPr>
          <w:color w:val="555555"/>
          <w:sz w:val="18"/>
        </w:rPr>
        <w:t xml:space="preserve">Stand: 28.09.2021 (konsolidierte Textfassung, kein amtliches Inkrafttretensdatum)</w:t>
      </w:r>
    </w:p>
    <w:p>
      <w:r>
        <w:t xml:space="preserve">(1) Stellen Behörden über öffentlich zugängliche Netze Daten zur Verfügung, an denen ein Nutzungsinteresse, insbesondere ein Weiterverwendungsinteresse im Sinne des Datennutzungsgesetzes, zu erwarten ist, so sind grundsätzlich maschinenlesbare Formate zu verwenden. Ein Format ist maschinenlesbar, wenn die enthaltenen Daten durch Software automatisiert ausgelesen und verarbeitet werden können. Die Daten sollen mit Metadaten versehen werden.</w:t>
      </w:r>
    </w:p>
    <w:p>
      <w:r>
        <w:t xml:space="preserve">(2) Die Bundesregierung wird ermächtigt, durch Rechtsverordnung mit Zustimmung des Bundesrates Bestimmungen für die Nutzung der Daten gemäß Absatz 1 festzulegen. Die Nutzungsbestimmungen sollen die kommerzielle und nichtkommerzielle Nutzung abdecken. Sie sollen insbesondere den Umfang der Nutzung, Nutzungsbedingungen, Gewährleistungs- und Haftungsausschlüsse regeln. Es können keine Regelungen zu Geldleistungen getroffen werden.</w:t>
      </w:r>
    </w:p>
    <w:p>
      <w:r>
        <w:t xml:space="preserve">(3) Regelungen in anderen Rechtsvorschriften über technische Formate, in denen Daten verfügbar zu machen sind, gehen vor, soweit sie Maschinenlesbarkeit gewährleisten.</w:t>
      </w:r>
    </w:p>
    <w:p>
      <w:r>
        <w:t xml:space="preserve">(4) Absatz 1 gilt für Daten, die vor dem 31. Juli 2013 erstellt wurden, nur, wenn sie in maschinenlesbaren Formaten vorliegen.</w:t>
      </w:r>
    </w:p>
    <w:p>
      <w:r>
        <w:t xml:space="preserve">(5) Absatz 1 gilt nicht, soweit Rechte Dritter, insbesondere der Länder, entgegenstehen.</w:t>
      </w:r>
    </w:p>
    <w:p>
      <w:r>
        <w:rPr>
          <w:color w:val="555555"/>
          <w:sz w:val="17"/>
        </w:rPr>
        <w:t xml:space="preserve">Zitiervorschlag: § 12 EGovG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https://recht.nulegal.eu/gesetze/EGovG/12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