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EGovG — Geltungsbereich</w:t>
      </w:r>
    </w:p>
    <w:p>
      <w:r>
        <w:rPr>
          <w:color w:val="555555"/>
          <w:sz w:val="18"/>
        </w:rPr>
        <w:t xml:space="preserve">E-Government-Gesetz</w:t>
      </w:r>
    </w:p>
    <w:p>
      <w:r>
        <w:rPr>
          <w:color w:val="555555"/>
          <w:sz w:val="18"/>
        </w:rPr>
        <w:t xml:space="preserve">Stand: 24.07.2024 (konsolidierte Textfassung, kein amtliches Inkrafttretensdatum)</w:t>
      </w:r>
    </w:p>
    <w:p>
      <w:r>
        <w:t xml:space="preserve">(1) Dieses Gesetz gilt für die öffentlich-rechtliche Verwaltungstätigkeit der Behörden des Bundes einschließlich der bundesunmittelbaren Körperschaften, Anstalten und Stiftungen des öffentlichen Rechts.</w:t>
      </w:r>
    </w:p>
    <w:p>
      <w:r>
        <w:t xml:space="preserve">(2) Dieses Gesetz mit Ausnahme der §§ 2a, 9a bis 9c gilt auch für die öffentlich-rechtliche Verwaltungstätigkeit der Behörden der Länder, der Gemeinden und Gemeindeverbände und der sonstigen der Aufsicht des Landes unterstehenden juristischen Personen des öffentlichen Rechts, wenn sie Bundesrecht ausführen.</w:t>
      </w:r>
    </w:p>
    <w:p>
      <w:r>
        <w:t xml:space="preserve">(3) Für die Tätigkeit der Gerichtsverwaltungen und der Behörden der Justizverwaltung einschließlich der ihrer Aufsicht unterliegenden Körperschaften des öffentlichen Rechts gilt dieses Gesetz nur, soweit die Tätigkeit der Nachprüfung durch die Gerichte der Verwaltungsgerichtsbarkeit oder der Nachprüfung durch die in verwaltungsrechtlichen Anwalts-, Patentanwalts- und Notarsachen zuständigen Gerichte unterliegt.</w:t>
      </w:r>
    </w:p>
    <w:p>
      <w:r>
        <w:t xml:space="preserve">(4) Dieses Gesetz gilt, soweit nicht Rechtsvorschriften des Bundes inhaltsgleiche oder entgegenstehende Bestimmungen enthalten.</w:t>
      </w:r>
    </w:p>
    <w:p>
      <w:r>
        <w:t xml:space="preserve">(5) Dieses Gesetz gilt nicht für</w:t>
      </w:r>
    </w:p>
    <w:p>
      <w:pPr>
        <w:ind w:left="420"/>
      </w:pPr>
      <w:r>
        <w:t xml:space="preserve">1. die Strafverfolgung, die Verfolgung und Ahndung von Ordnungswidrigkeiten, die Rechtshilfe für das Ausland in Straf- und Zivilsachen, die Steuer- und Zollfahndung (§ 208 der Abgabenordnung) und für Maßnahmen des Richterdienstrechts,</w:t>
      </w:r>
    </w:p>
    <w:p>
      <w:pPr>
        <w:ind w:left="420"/>
      </w:pPr>
      <w:r>
        <w:t xml:space="preserve">2. Verfahren vor dem Deutschen Patent- und Markenamt und den bei diesem errichteten Schiedsstellen,</w:t>
      </w:r>
    </w:p>
    <w:p>
      <w:pPr>
        <w:ind w:left="420"/>
      </w:pPr>
      <w:r>
        <w:t xml:space="preserve">3. die Verwaltungstätigkeit nach dem Zweiten Buch Sozialgesetzbuch.</w:t>
      </w:r>
    </w:p>
    <w:p>
      <w:r>
        <w:rPr>
          <w:color w:val="555555"/>
          <w:sz w:val="17"/>
        </w:rPr>
        <w:t xml:space="preserve">Zitiervorschlag: § 1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