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EGTSEBußgeldV</w:t>
      </w:r>
    </w:p>
    <w:p>
      <w:r>
        <w:rPr>
          <w:color w:val="555555"/>
          <w:sz w:val="18"/>
        </w:rPr>
        <w:t xml:space="preserve">EG-TSE-Bußgeldverordnung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76 Abs. 4 des Tierseuchengesetzes in der Fassung der Bekanntmachung vom 11. April 2001 (BGBl. I S. 506) verordnet das Bundesministerium für Verbraucherschutz, Ernährung und Landwirtschaft:</w:t>
      </w:r>
    </w:p>
    <w:p>
      <w:r>
        <w:rPr>
          <w:color w:val="555555"/>
          <w:sz w:val="17"/>
        </w:rPr>
        <w:t xml:space="preserve">Zitiervorschlag: Eingangsformel EGTSEBußgeldV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https://recht.nulegal.eu/gesetze/EGTSEBu%C3%9FgeldV/eingangsformel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