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EGTSEBußgeldV — Inkrafttreten</w:t>
      </w:r>
    </w:p>
    <w:p>
      <w:r>
        <w:rPr>
          <w:color w:val="555555"/>
          <w:sz w:val="18"/>
        </w:rPr>
        <w:t xml:space="preserve">EG-TSE-Bußgeldverordnung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vorbehaltlich des Satzes 2 am Tage nach der Verkündung in Kraft. § 1 Nr. 6 bis 8 tritt am 1. Oktober 2001 in Kraft.</w:t>
      </w:r>
    </w:p>
    <w:p>
      <w:r>
        <w:rPr>
          <w:color w:val="555555"/>
          <w:sz w:val="17"/>
        </w:rPr>
        <w:t xml:space="preserve">Zitiervorschlag: § 2 EGTSEBußgeldV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https://recht.nulegal.eu/gesetze/EGTSEBu%C3%9FgeldV/2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