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EGTSEAusnV</w:t>
      </w:r>
    </w:p>
    <w:p>
      <w:r>
        <w:rPr>
          <w:color w:val="555555"/>
          <w:sz w:val="18"/>
        </w:rPr>
        <w:t xml:space="preserve">EG-TSE-Ausnahmeverordnung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tritt am Tage nach der Verkündung in Kraft.</w:t>
      </w:r>
    </w:p>
    <w:p>
      <w:r>
        <w:rPr>
          <w:color w:val="555555"/>
          <w:sz w:val="17"/>
        </w:rPr>
        <w:t xml:space="preserve">Zitiervorschlag: § 3 EGTSEAusnV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https://recht.nulegal.eu/gesetze/EGTSEAusnV/3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