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EGRechtÜblV</w:t>
      </w:r>
    </w:p>
    <w:p>
      <w:r>
        <w:rPr>
          <w:color w:val="555555"/>
          <w:sz w:val="18"/>
        </w:rPr>
        <w:t xml:space="preserve">EG-Recht-Überleitungsverordnung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Artikels 4 Abs. 2 des Einigungsvertragsgesetzes handelt, wer vorsätzlich oder fahrlässig</w:t>
      </w:r>
    </w:p>
    <w:p>
      <w:pPr>
        <w:ind w:left="420"/>
      </w:pPr>
      <w:r>
        <w:t xml:space="preserve">1. entgegen § 4 Abs. 1 Satz 1 Erzeugnisse in den Verkehr bringt oder ausführt oder</w:t>
      </w:r>
    </w:p>
    <w:p>
      <w:pPr>
        <w:ind w:left="420"/>
      </w:pPr>
      <w:r>
        <w:t xml:space="preserve">2. entgegen Anlage 3 Kapitel I Nr. 8 Buchstabe d Satz 1 vorgeschriebene Angaben nicht, nicht richtig oder nicht vollständig macht.</w:t>
      </w:r>
    </w:p>
    <w:p>
      <w:r>
        <w:rPr>
          <w:color w:val="555555"/>
          <w:sz w:val="17"/>
        </w:rPr>
        <w:t xml:space="preserve">Zitiervorschlag: § 5 EGRechtÜblV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https://recht.nulegal.eu/gesetze/EGRecht%C3%9CblV/5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