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EGRechtÜblV</w:t>
      </w:r>
    </w:p>
    <w:p>
      <w:r>
        <w:rPr>
          <w:color w:val="555555"/>
          <w:sz w:val="18"/>
        </w:rPr>
        <w:t xml:space="preserve">EG-Recht-Überleitungsverordnung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Anlage 4 aufgeführte Erzeugnisse, die in Anwendung der Ausnahmebestimmungen der §§ 1 und 2 hergestellt sind und Erzeugnisse, die auf Grund einer Genehmigung nach § 3 eingeführt sind, dürfen nur in dem in Artikel 3 des Einigungsvertrages genannten Gebiet in den Verkehr gebracht oder in Drittstaaten ausgeführt werden. Inverkehrbringen ist das Anbieten, Vorrätighalten zum Verkauf oder zu sonstiger Abgabe, Feilhalten und jedes Abgeben an andere.</w:t>
      </w:r>
    </w:p>
    <w:p>
      <w:r>
        <w:t xml:space="preserve">(2) Die zuständigen Behörden stellen durch besondere Maßnahmen sicher, daß Erzeugnisse nach Absatz 1 nur in dem in Artikel 3 des Einigungsvertrages genannten Gebiet in den Verkehr gebracht werden.</w:t>
      </w:r>
    </w:p>
    <w:p>
      <w:r>
        <w:rPr>
          <w:color w:val="555555"/>
          <w:sz w:val="17"/>
        </w:rPr>
        <w:t xml:space="preserve">Zitiervorschlag: § 4 EGRechtÜblV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https://recht.nulegal.eu/gesetze/EGRecht%C3%9CblV/4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