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EGRechtÜblV</w:t>
      </w:r>
    </w:p>
    <w:p>
      <w:r>
        <w:rPr>
          <w:color w:val="555555"/>
          <w:sz w:val="18"/>
        </w:rPr>
        <w:t xml:space="preserve">EG-Recht-Überleitungsverordnung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Anlage 1 dieser Verordnung genannten unmittelbar anwendbaren Rechtsakte der Europäischen Gemeinschaften sind mit den dort aufgeführten Maßgaben in dem in Artikel 3 des Einigungsvertrages genannten Gebiet anzuwenden.</w:t>
      </w:r>
    </w:p>
    <w:p>
      <w:r>
        <w:rPr>
          <w:color w:val="555555"/>
          <w:sz w:val="17"/>
        </w:rPr>
        <w:t xml:space="preserve">Zitiervorschlag: § 1 EGRechtÜblV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https://recht.nulegal.eu/gesetze/EGRecht%C3%9CblV/1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