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EGRebflRodDV — Verfahren, Ermittlungen zur Festsetzung der Höhe der Prämie</w:t>
      </w:r>
    </w:p>
    <w:p>
      <w:r>
        <w:rPr>
          <w:color w:val="555555"/>
          <w:sz w:val="18"/>
        </w:rPr>
        <w:t xml:space="preserve">Verordnung zur Durchführung des EG-Rebflächenrodungsprogramms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Landesregierungen wird die Befugnis übertragen, durch Rechtsverordnung</w:t>
      </w:r>
    </w:p>
    <w:p>
      <w:pPr>
        <w:ind w:left="420"/>
      </w:pPr>
      <w:r>
        <w:t xml:space="preserve">1. die nach den in § 1 bezeichneten Vorschriften erforderlichen Bestimmungen über das Verfahren, einschließlich des Verfahrens bei Anwendung eines einzigen Annahmeprozentsatzes nach Maßgabe des Artikels 71 der Verordnung (EG) Nr. 555/2008, und die Frist für die Durchführung der Rodung zu erlassen sowie</w:t>
      </w:r>
    </w:p>
    <w:p>
      <w:pPr>
        <w:ind w:left="420"/>
      </w:pPr>
      <w:r>
        <w:t xml:space="preserve">2. zu bestimmen, welche Nachweise von den Erzeugern zur Ermittlung des historischen Ertrages in welcher Art und Weise zu erbringen sind, insbesondere wenn der Erzeuger</w:t>
      </w:r>
    </w:p>
    <w:p>
      <w:pPr>
        <w:ind w:left="780"/>
      </w:pPr>
      <w:r>
        <w:t xml:space="preserve">a) von der Abgabe einer Erntemeldung befreit ist oder</w:t>
      </w:r>
    </w:p>
    <w:p>
      <w:pPr>
        <w:ind w:left="780"/>
      </w:pPr>
      <w:r>
        <w:t xml:space="preserve">b) beantragt, die Prämie auf der Grundlage des Durchschnittsertrags der Parzelle festzusetzen.</w:t>
      </w:r>
    </w:p>
    <w:p>
      <w:r>
        <w:rPr>
          <w:color w:val="555555"/>
          <w:sz w:val="17"/>
        </w:rPr>
        <w:t xml:space="preserve">Zitiervorschlag: § 3 EGRebflRodDV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https://recht.nulegal.eu/gesetze/EGRebflRodDV/3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