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EGRebflRodDV — Anwendungsbereich</w:t>
      </w:r>
    </w:p>
    <w:p>
      <w:r>
        <w:rPr>
          <w:color w:val="555555"/>
          <w:sz w:val="18"/>
        </w:rPr>
        <w:t xml:space="preserve">Verordnung zur Durchführung des EG-Rebflächenrodungsprogramms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die Durchführung des Titels V Kapitel III der Verordnung (EG) Nr. 479/2008 des Rates über die gemeinsame Marktorganisation für Wein, zur Änderung der Verordnungen (EG) Nr. 1493/1999, (EG) Nr. 1782/2003, (EG) Nr. 1290/2005, (EG) Nr. 3/2008 und zur Aufhebung der Verordnungen (EWG) Nr. 2392/86 und (EG) Nr. 1493/1999 (ABl. EU Nr. L 148 S. 1) in Verbindung mit Titel IV Kapitel III der Verordnung (EG) Nr. 555/2008 der Kommission vom 27. Juni 2008 mit Durchführungsbestimmungen zur Verordnung (EG) Nr. 479/2008 des Rates über die gemeinsame Marktorganisation für Wein hinsichtlich der Stützungsprogramme, des Handels mit Drittländern, des Produktionspotenzials und der Kontrollen im Weinsektor (ABl. EU Nr. L 170 S. 1).</w:t>
      </w:r>
    </w:p>
    <w:p>
      <w:r>
        <w:rPr>
          <w:color w:val="555555"/>
          <w:sz w:val="17"/>
        </w:rPr>
        <w:t xml:space="preserve">Zitiervorschlag: § 1 EGRebflRodDV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https://recht.nulegal.eu/gesetze/EGRebflRodDV/1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