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EGMRKHG — Rechtsmittel</w:t>
      </w:r>
    </w:p>
    <w:p>
      <w:r>
        <w:rPr>
          <w:color w:val="555555"/>
          <w:sz w:val="18"/>
        </w:rPr>
        <w:t xml:space="preserve">EGMR-Kostenhilfegesetz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Entscheidung über die Kostenhilfe findet die sofortige Beschwerde nach den Vorschriften der Zivilprozessordnung statt, über die das Beschwerdegericht durch eines seiner Mitglieder als Einzelrichter entscheidet. Die Notfrist des § 569 Absatz 1 Satz 1 der Zivilprozessordnung beträgt einen Monat. Die Beschwerde kann auch durch Erklärung zu Protokoll der Geschäftsstelle des Beschwerdegerichts eingelegt werden. § 572 Absatz 1 der Zivilprozessordnung ist mit der Maßgabe anzuwenden, dass das Bundesamt für Justiz über die Abhilfe entscheidet.</w:t>
      </w:r>
    </w:p>
    <w:p>
      <w:r>
        <w:t xml:space="preserve">(2) Über die Beschwerde entscheidet das Landgericht, in dessen Bezirk das Bundesamt für Justiz seinen Sitz hat.</w:t>
      </w:r>
    </w:p>
    <w:p>
      <w:r>
        <w:rPr>
          <w:color w:val="555555"/>
          <w:sz w:val="17"/>
        </w:rPr>
        <w:t xml:space="preserve">Zitiervorschlag: § 4 EGMRKHG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https://recht.nulegal.eu/gesetze/EGMRKHG/4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