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EGMRKHG — Festsetzung; Verordnungsermächtigung</w:t>
      </w:r>
    </w:p>
    <w:p>
      <w:r>
        <w:rPr>
          <w:color w:val="555555"/>
          <w:sz w:val="18"/>
        </w:rPr>
        <w:t xml:space="preserve">EGMR-Kostenhilfegesetz</w:t>
      </w:r>
    </w:p>
    <w:p>
      <w:r>
        <w:rPr>
          <w:color w:val="555555"/>
          <w:sz w:val="18"/>
        </w:rPr>
        <w:t xml:space="preserve">Stand: 10.06.2019 (konsolidierte Textfassung, kein amtliches Inkrafttretensdatum)</w:t>
      </w:r>
    </w:p>
    <w:p>
      <w:r>
        <w:t xml:space="preserve">(1) Die Kostenhilfe umfasst die Fahrt- und Aufenthaltskosten sowie andere notwendige Auslagen, die der drittbetroffenen Person und der zu ihrem Rechtsbeistand bestellten Person entstehen.</w:t>
      </w:r>
    </w:p>
    <w:p>
      <w:r>
        <w:t xml:space="preserve">(2) Das Bundesministerium der Justiz und für Verbraucherschutz wird ermächtigt, durch Rechtsverordnung ohne Zustimmung des Bundesrates die Höhe der Erstattungsbeträge für Honorare und Auslagen in Anlehnung an die Tarife zu bestimmen, die nach der Verfahrensordnung des Europäischen Gerichtshofs für Menschenrechte gelten. Für Verfahren, die in tatsächlicher und rechtlicher Hinsicht einfach sind und deren Umfang unterdurchschnittlich ist, kann dabei eine Reduzierung der Erstattungsbeträge vorgesehen werden. Für den Fall, dass sich die Tätigkeit des Rechtsanwalts auf die Stellung des Antrags auf Drittbeteiligung beschränkt, ist ein Viertel des Pauschalbetrages vorzusehen.</w:t>
      </w:r>
    </w:p>
    <w:p>
      <w:r>
        <w:t xml:space="preserve">(3) Das Bundesamt für Justiz setzt die Höhe der Kostenhilfe fest, sobald die drittbetroffene Person dargelegt hat, dass die Honorare oder Auslagen fällig werden. Sollte die drittbetroffene Person wider Erwarten nicht zur Zahlung eines Honorars verpflichtet sein oder keine Auslagen haben, ist die Kostenhilfe unverzüglich zurückzuzahlen.</w:t>
      </w:r>
    </w:p>
    <w:p>
      <w:r>
        <w:rPr>
          <w:color w:val="555555"/>
          <w:sz w:val="17"/>
        </w:rPr>
        <w:t xml:space="preserve">Zitiervorschlag: § 3 EGMRKHG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https://recht.nulegal.eu/gesetze/EGMRKHG/3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