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EGMR-KEV</w:t>
      </w:r>
    </w:p>
    <w:p>
      <w:r>
        <w:rPr>
          <w:color w:val="555555"/>
          <w:sz w:val="18"/>
        </w:rPr>
        <w:t xml:space="preserve">EGMR-Kostenhilfe-Erstattungsbetragsverordnung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Absatz 2 des EGMR-Kostenhilfegesetzes vom 20. April 2013 (BGBl. I S. 829) verordnet das Bundesministerium der Justiz:</w:t>
      </w:r>
    </w:p>
    <w:p>
      <w:r>
        <w:rPr>
          <w:color w:val="555555"/>
          <w:sz w:val="17"/>
        </w:rPr>
        <w:t xml:space="preserve">Zitiervorschlag: Eingangsformel EGMR-KEV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https://recht.nulegal.eu/gesetze/EGMR-KEV/eingangsformel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