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EGMR-KEV — Inkrafttreten</w:t>
      </w:r>
    </w:p>
    <w:p>
      <w:r>
        <w:rPr>
          <w:color w:val="555555"/>
          <w:sz w:val="18"/>
        </w:rPr>
        <w:t xml:space="preserve">EGMR-Kostenhilfe-Erstattungsbetragsverordnung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2 EGMR-KEV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https://recht.nulegal.eu/gesetze/EGMR-KEV/2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