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EGInsO — Änderung der Schiffahrtsrechtlichen Verteilungsordnung</w:t>
      </w:r>
    </w:p>
    <w:p>
      <w:r>
        <w:rPr>
          <w:color w:val="555555"/>
          <w:sz w:val="18"/>
        </w:rPr>
        <w:t xml:space="preserve">Einführungsgesetz zur 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</w:t>
      </w:r>
    </w:p>
    <w:p>
      <w:r>
        <w:t xml:space="preserve">(2) Die Maßgabe zur Seerechtlichen Verteilungsordnung in Anlage I Kapitel III Sachgebiet D Abschnitt III Nr. 3 Buchstabe b des Einigungsvertrages vom 31. August 1990 in Verbindung mit Artikel 1 des Gesetzes vom 23. September 1990 (BGBl. II S. 885, 960) ist nicht mehr anzuwenden.</w:t>
      </w:r>
    </w:p>
    <w:p>
      <w:r>
        <w:rPr>
          <w:color w:val="555555"/>
          <w:sz w:val="17"/>
        </w:rPr>
        <w:t xml:space="preserve">Zitiervorschlag: Art 21 EGInsO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https://recht.nulegal.eu/gesetze/EGInsO/21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