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108 EGInsO — Fortbestand der Vollstreckungsbeschränkung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Zwangsvollstreckung gegen einen Schuldner, über dessen Vermögen ein Gesamtvollstreckungsverfahren durchgeführt worden ist, ist auch nach dem 31. Dezember 1998 die Vollstreckungsbeschränkung des § 18 Abs. 2 Satz 3 der Gesamtvollstreckungsordnung zu beachten.</w:t>
      </w:r>
    </w:p>
    <w:p>
      <w:r>
        <w:t xml:space="preserve">(2) Wird über das Vermögen eines solchen Schuldners nach den Vorschriften der Insolvenzordnung ein Insolvenzverfahren eröffnet, so sind die Forderungen, die der Vollstreckungsbeschränkung unterliegen, im Rang nach den in § 39 Abs. 1 der Insolvenzordnung bezeichneten Forderungen zu berichtigen.</w:t>
      </w:r>
    </w:p>
    <w:p>
      <w:r>
        <w:rPr>
          <w:color w:val="555555"/>
          <w:sz w:val="17"/>
        </w:rPr>
        <w:t xml:space="preserve">Zitiervorschlag: Art 108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