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106 EGInsO — Insolvenzanfechtung</w:t>
      </w:r>
    </w:p>
    <w:p>
      <w:r>
        <w:rPr>
          <w:color w:val="555555"/>
          <w:sz w:val="18"/>
        </w:rPr>
        <w:t xml:space="preserve">Einführungsgesetz zur Insolvenzordnung</w:t>
      </w:r>
    </w:p>
    <w:p>
      <w:r>
        <w:rPr>
          <w:color w:val="555555"/>
          <w:sz w:val="18"/>
        </w:rPr>
        <w:t xml:space="preserve">Stand: 10.06.2019 (konsolidierte Textfassung, kein amtliches Inkrafttretensdatum)</w:t>
      </w:r>
    </w:p>
    <w:p>
      <w:r>
        <w:t xml:space="preserve">Die Vorschriften der Insolvenzordnung über die Anfechtung von Rechtshandlungen sind auf die vor dem 1. Januar 1999 vorgenommenen Rechtshandlungen nur anzuwenden, soweit diese nicht nach dem bisherigen Recht der Anfechtung entzogen oder in geringerem Umfang unterworfen sind.</w:t>
      </w:r>
    </w:p>
    <w:p>
      <w:r>
        <w:rPr>
          <w:color w:val="555555"/>
          <w:sz w:val="17"/>
        </w:rPr>
        <w:t xml:space="preserve">Zitiervorschlag: Art 106 EGInsO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https://recht.nulegal.eu/gesetze/EGInsO/106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