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105 EGInsO — Finanztermingeschäfte</w:t>
      </w:r>
    </w:p>
    <w:p>
      <w:r>
        <w:rPr>
          <w:color w:val="555555"/>
          <w:sz w:val="18"/>
        </w:rPr>
        <w:t xml:space="preserve">Einführungsgesetz zur Insolvenzordnung</w:t>
      </w:r>
    </w:p>
    <w:p>
      <w:r>
        <w:rPr>
          <w:color w:val="555555"/>
          <w:sz w:val="18"/>
        </w:rPr>
        <w:t xml:space="preserve">Stand: 10.06.2019 (konsolidierte Textfassung, kein amtliches Inkrafttretensdatum)</w:t>
      </w:r>
    </w:p>
    <w:p>
      <w:r>
        <w:t xml:space="preserve">(1) War für Finanzleistungen, die einen Markt- oder Börsenpreis haben, eine bestimmte Zeit oder eine bestimmte Frist vereinbart und tritt die Zeit oder der Ablauf der Frist erst nach der Eröffnung eines Konkursverfahrens ein, so kann nicht die Erfüllung verlangt, sondern nur eine Forderung wegen der Nichterfüllung geltend gemacht werden. Als Finanzleistungen gelten insbesondere</w:t>
      </w:r>
    </w:p>
    <w:p>
      <w:pPr>
        <w:ind w:left="420"/>
      </w:pPr>
      <w:r>
        <w:t xml:space="preserve">1. die Lieferung von Edelmetallen,</w:t>
      </w:r>
    </w:p>
    <w:p>
      <w:pPr>
        <w:ind w:left="420"/>
      </w:pPr>
      <w:r>
        <w:t xml:space="preserve">2. die Lieferung von Wertpapieren oder vergleichbaren Rechten, soweit nicht der Erwerb einer Beteiligung an einem Unternehmen zur Herstellung einer dauernden Verbindung zu diesem Unternehmen beabsichtigt ist,</w:t>
      </w:r>
    </w:p>
    <w:p>
      <w:pPr>
        <w:ind w:left="420"/>
      </w:pPr>
      <w:r>
        <w:t xml:space="preserve">3. Geldleistungen, die in ausländischer Währung oder in einer Rechnungseinheit zu erbringen sind,</w:t>
      </w:r>
    </w:p>
    <w:p>
      <w:pPr>
        <w:ind w:left="420"/>
      </w:pPr>
      <w:r>
        <w:t xml:space="preserve">4. Geldleistungen, deren Höhe unmittelbar oder mittelbar durch den Kurs einer ausländischen Währung oder einer Rechnungseinheit, durch den Zinssatz von Forderungen oder durch den Preis anderer Güter oder Leistungen bestimmt wird,</w:t>
      </w:r>
    </w:p>
    <w:p>
      <w:pPr>
        <w:ind w:left="420"/>
      </w:pPr>
      <w:r>
        <w:t xml:space="preserve">5. Optionen und andere Rechte auf Lieferungen oder Geldleistungen im Sinne der Nummern 1 bis 4.</w:t>
      </w:r>
    </w:p>
    <w:p>
      <w:r>
        <w:t xml:space="preserve">Sind Geschäfte über Finanzleistungen in einem Rahmenvertrag zusammengefaßt, für den vereinbart ist, daß er bei Vertragsverletzungen nur einheitlich beendet werden kann, so gilt die Gesamtheit dieser Geschäfte als ein gegenseitiger Vertrag.</w:t>
      </w:r>
    </w:p>
    <w:p>
      <w:r>
        <w:t xml:space="preserve">(2) Die Forderung wegen der Nichterfüllung richtet sich auf den Unterschied zwischen dem vereinbarten Preis und dem Markt- oder Börsenpreis, der am zweiten Werktag nach der Eröffnung des Verfahrens am Erfüllungsort für einen Vertrag mit der vereinbarten Erfüllungszeit maßgeblich ist. Der andere Teil kann eine solche Forderung nur als Konkursgläubiger geltend machen.</w:t>
      </w:r>
    </w:p>
    <w:p>
      <w:r>
        <w:t xml:space="preserve">(3) Die in den Absätzen 1 und 2 für den Fall der Eröffnung eines Konkursverfahrens getroffenen Regelungen gelten entsprechend für den Fall der Eröffnung eines Vergleichs- oder Gesamtvollstreckungsverfahrens.</w:t>
      </w:r>
    </w:p>
    <w:p>
      <w:r>
        <w:rPr>
          <w:color w:val="555555"/>
          <w:sz w:val="17"/>
        </w:rPr>
        <w:t xml:space="preserve">Zitiervorschlag: Art 105 EGInsO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https://recht.nulegal.eu/gesetze/EGInsO/105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