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103i EGInsO — Überleitungsvorschrift zum Bilanzrichtlinie-Umsetzungsgesetz</w:t>
      </w:r>
    </w:p>
    <w:p>
      <w:r>
        <w:rPr>
          <w:color w:val="555555"/>
          <w:sz w:val="18"/>
        </w:rPr>
        <w:t xml:space="preserve">Einführungsgesetz zur Insolvenzordnung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§ 22a Absatz 1 der Insolvenzordnung in der Fassung des Bilanzrichtlinie-Umsetzungsgesetzes vom 17. Juli 2015 (BGBl. I S. 1245) ist erstmals auf Verfahren anzuwenden, deren Eröffnung nach dem 31. Dezember 2015 beantragt worden ist.</w:t>
      </w:r>
    </w:p>
    <w:p>
      <w:r>
        <w:rPr>
          <w:color w:val="555555"/>
          <w:sz w:val="17"/>
        </w:rPr>
        <w:t xml:space="preserve">Zitiervorschlag: Art 103i EGInsO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https://recht.nulegal.eu/gesetze/EGInsO/103i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