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102c § 13 EGInsO — Benachrichtigung über die beabsichtigte Verteilung</w:t>
      </w:r>
    </w:p>
    <w:p>
      <w:r>
        <w:rPr>
          <w:color w:val="555555"/>
          <w:sz w:val="18"/>
        </w:rPr>
        <w:t xml:space="preserve">Einführungsgesetz zur Insolvenzordnung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die Benachrichtigung nach Artikel 36 Absatz 7 Satz 1 der Verordnung (EU) 2015/848 gilt § 12 Satz 2 entsprechend.</w:t>
      </w:r>
    </w:p>
    <w:p>
      <w:r>
        <w:rPr>
          <w:color w:val="555555"/>
          <w:sz w:val="17"/>
        </w:rPr>
        <w:t xml:space="preserve">Zitiervorschlag: Art 102c § 13 EGInsO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https://recht.nulegal.eu/gesetze/EGInsO/102c-13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