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102b § 2 EGInsO — Unanfechtbarkeit</w:t>
      </w:r>
    </w:p>
    <w:p>
      <w:r>
        <w:rPr>
          <w:color w:val="555555"/>
          <w:sz w:val="18"/>
        </w:rPr>
        <w:t xml:space="preserve">Einführungsgesetz zur Insolvenzordnung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nach § 1 zulässigen Maßnahmen unterliegen nicht der Insolvenzanfechtung.</w:t>
      </w:r>
    </w:p>
    <w:p>
      <w:r>
        <w:rPr>
          <w:color w:val="555555"/>
          <w:sz w:val="17"/>
        </w:rPr>
        <w:t xml:space="preserve">Zitiervorschlag: Art 102b § 2 EGInsO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https://recht.nulegal.eu/gesetze/EGInsO/102b-2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