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102b § 1 EGInsO — Ausfallbestimmungen von zentralen Gegenparteien</w:t>
      </w:r>
    </w:p>
    <w:p>
      <w:r>
        <w:rPr>
          <w:color w:val="555555"/>
          <w:sz w:val="18"/>
        </w:rPr>
        <w:t xml:space="preserve">Einführungsgesetz zur 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Eröffnung des Insolvenzverfahrens hindert nicht</w:t>
      </w:r>
    </w:p>
    <w:p>
      <w:pPr>
        <w:ind w:left="420"/>
      </w:pPr>
      <w:r>
        <w:t xml:space="preserve">1. die Durchführung der nach Artikel 48 Absatz 2, 4, 5 Satz 3 und Absatz 6 Satz 3 der Verordnung (EU) Nr. 648/2012 des Europäischen Parlaments und des Rates vom 4. Juli 2012 über OTC-Derivate, zentrale Gegenparteien und Transaktionsregister (ABl. L 201 vom 27.7.2012, S. 1) gebotenen Maßnahmen zur Verwaltung, Glattstellung und sonstigen Abwicklung von Kundenpositionen und Eigenhandelspositionen des Clearingmitglieds,</w:t>
      </w:r>
    </w:p>
    <w:p>
      <w:pPr>
        <w:ind w:left="420"/>
      </w:pPr>
      <w:r>
        <w:t xml:space="preserve">2. die Durchführung der nach Artikel 48 Absatz 4 bis 6 der Verordnung (EU) Nr. 648/2012 gebotenen Maßnahmen der Übertragung von Kundenpositionen sowie</w:t>
      </w:r>
    </w:p>
    <w:p>
      <w:pPr>
        <w:ind w:left="420"/>
      </w:pPr>
      <w:r>
        <w:t xml:space="preserve">3. die nach Artikel 48 Absatz 7 der Verordnung (EU) Nr. 648/2012 gebotene Verwendung und Rückgewähr von Kundensicherheiten.</w:t>
      </w:r>
    </w:p>
    <w:p>
      <w:r>
        <w:t xml:space="preserve">(2) Absatz 1 gilt entsprechend für die Anordnung von Sicherungsmaßnahmen nach § 21 der Insolvenzordnung.</w:t>
      </w:r>
    </w:p>
    <w:p>
      <w:r>
        <w:rPr>
          <w:color w:val="555555"/>
          <w:sz w:val="17"/>
        </w:rPr>
        <w:t xml:space="preserve">Zitiervorschlag: Art 102b § 1 EGInsO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https://recht.nulegal.eu/gesetze/EGInsO/102b-1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