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102 § 5 EGInsO — Öffentliche Bekanntmachung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öffentliche Bekanntmachung des wesentlichen Inhalts der Entscheidungen nach Artikel 21 Abs. 1 der Verordnung (EG) Nr. 1346/2000 ist an das nach § 1 zuständige Gericht zu richten. Das Gericht kann eine Übersetzung verlangen, die von einer hierzu in einem der Mitgliedstaaten der Europäischen Union befugten Person zu beglaubigen ist. § 9 Abs. 1 und 2 und § 30 Abs. 1 der Insolvenzordnung gelten entsprechend.</w:t>
      </w:r>
    </w:p>
    <w:p>
      <w:r>
        <w:t xml:space="preserve">(2) Besitzt der Schuldner im Inland eine Niederlassung, so erfolgt die öffentliche Bekanntmachung nach Absatz 1 von Amts wegen. Ist die Eröffnung des Insolvenzverfahrens bekannt gemacht worden, so ist die Beendigung in gleicher Weise bekannt zu machen.</w:t>
      </w:r>
    </w:p>
    <w:p>
      <w:r>
        <w:rPr>
          <w:color w:val="555555"/>
          <w:sz w:val="17"/>
        </w:rPr>
        <w:t xml:space="preserve">Zitiervorschlag: Art 102 § 5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https://recht.nulegal.eu/gesetze/EGInsO/102-5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102 § 5 EGInsO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