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102 § 2 EGInsO — Begründung des Eröffnungsbeschlusses</w:t>
      </w:r>
    </w:p>
    <w:p>
      <w:r>
        <w:rPr>
          <w:color w:val="555555"/>
          <w:sz w:val="18"/>
        </w:rPr>
        <w:t xml:space="preserve">Einführungsgesetz zur Insolvenzordnung</w:t>
      </w:r>
    </w:p>
    <w:p>
      <w:r>
        <w:rPr>
          <w:color w:val="555555"/>
          <w:sz w:val="18"/>
        </w:rPr>
        <w:t xml:space="preserve">Stand: 10.06.2019 (konsolidierte Textfassung, kein amtliches Inkrafttretensdatum)</w:t>
      </w:r>
    </w:p>
    <w:p>
      <w:r>
        <w:t xml:space="preserve">Ist anzunehmen, dass sich Vermögen des Schuldners in einem anderen Mitgliedstaat der Europäischen Union befindet, sollen im Eröffnungsbeschluss die tatsächlichen Feststellungen und rechtlichen Erwägungen kurz dargestellt werden, aus denen sich eine Zuständigkeit nach Artikel 3 der Verordnung (EG) Nr. 1346/2000 für die deutschen Gerichte ergibt.</w:t>
      </w:r>
    </w:p>
    <w:p>
      <w:r>
        <w:rPr>
          <w:color w:val="555555"/>
          <w:sz w:val="17"/>
        </w:rPr>
        <w:t xml:space="preserve">Zitiervorschlag: Art 102 § 2 EGInsO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https://recht.nulegal.eu/gesetze/EGInsO/102-2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