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EGGmbHG — Übergangsvorschrift zum Gesetz zur Umsetzung der Vierten EU-Geldwäscherichtlinie, zur Ausführung der EU-Geldtransferverordnung und zur Neuorganisation der Zentralstelle für Finanztransaktionsuntersuchungen</w:t>
      </w:r>
    </w:p>
    <w:p>
      <w:r>
        <w:rPr>
          <w:color w:val="555555"/>
          <w:sz w:val="18"/>
        </w:rPr>
        <w:t xml:space="preserve">GmbHG-Einführungsgesetz</w:t>
      </w:r>
    </w:p>
    <w:p>
      <w:r>
        <w:rPr>
          <w:color w:val="555555"/>
          <w:sz w:val="18"/>
        </w:rPr>
        <w:t xml:space="preserve">Stand: 10.06.2019 (konsolidierte Textfassung, kein amtliches Inkrafttretensdatum)</w:t>
      </w:r>
    </w:p>
    <w:p>
      <w:r>
        <w:t xml:space="preserve">§ 8 Absatz 1 Nummer 3 und § 40 Absatz 1 Satz 1 bis 3 des Gesetzes betreffend die Gesellschaften mit beschränkter Haftung in der Fassung des Gesetzes zur Umsetzung der Vierten EU-Geldwäscherichtlinie, zur Ausführung der EU-Geldtransferverordnung und zur Neuorganisation der Zentralstelle für Finanztransaktionsuntersuchungen vom 23. Juni 2017 (BGBl. I S. 1822) finden auf Gesellschaften mit beschränkter Haftung, die am 26. Juni 2017 in das Handelsregister eingetragen sind, mit der Maßgabe Anwendung, dass die geänderten Anforderungen an den Inhalt der Liste der Gesellschafter erst dann zu beachten sind, wenn aufgrund einer Veränderung nach § 40 Absatz 1 Satz 1 des Gesetzes betreffend die Gesellschaften mit beschränkter Haftung in der vor dem 26. Juni 2017 geltenden Fassung eine Liste einzureichen ist.</w:t>
      </w:r>
    </w:p>
    <w:p>
      <w:r>
        <w:rPr>
          <w:color w:val="555555"/>
          <w:sz w:val="17"/>
        </w:rPr>
        <w:t xml:space="preserve">Zitiervorschlag: § 8 EGGmbHG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https://recht.nulegal.eu/gesetze/EGGmbHG/8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