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EGGmbHG — Veränderung der Gesellschafterliste in Bezug auf eine Gesellschaft bürgerlichen Rechts</w:t>
      </w:r>
    </w:p>
    <w:p>
      <w:r>
        <w:rPr>
          <w:color w:val="555555"/>
          <w:sz w:val="18"/>
        </w:rPr>
        <w:t xml:space="preserve">GmbHG-Einführungsgesetz</w:t>
      </w:r>
    </w:p>
    <w:p>
      <w:r>
        <w:rPr>
          <w:color w:val="555555"/>
          <w:sz w:val="18"/>
        </w:rPr>
        <w:t xml:space="preserve">Stand: 01.01.2024 (konsolidierte Textfassung, kein amtliches Inkrafttretensdatum)</w:t>
      </w:r>
    </w:p>
    <w:p>
      <w:r>
        <w:t xml:space="preserve">(1) Wird an der Eintragung einer nach § 40 Absatz 1 Satz 2 Halbsatz 2 des Gesetzes betreffend die Gesellschaften mit beschränkter Haftung in der bis zum 1. Januar 2024 geltenden Fassung in eine Gesellschafterliste eingetragenen Gesellschaft bürgerlichen Rechts nach den durch das Personengesellschaftsrechtsmodernisierungsgesetz vom 10. August 2021 (BGBl. I S. 3436) geänderten Vorschriften eine Veränderung vorgenommen, haben sowohl sämtliche bislang in der Gesellschafterliste eingetragene Gesellschafter als auch die im Gesellschaftsregister eingetragene Gesellschaft bürgerlichen Rechts gegenüber den zur Einreichung der geänderten Gesellschafterliste Verpflichteten zu versichern, dass die in der geänderten Gesellschafterliste eingetragene Gesellschaft bürgerlichen Rechts dieselbe ist wie diejenige, die in der zuletzt zum Handelsregister eingereichten Gesellschafterliste eingetragen wurde.</w:t>
      </w:r>
    </w:p>
    <w:p>
      <w:r>
        <w:t xml:space="preserve">(2) Bei einer Gesellschaft bürgerlichen Rechts, die nach § 40 Absatz 1 Satz 2 zweiter Halbsatz des Gesetzes betreffend die Gesellschaften mit beschränkter Haftung in der bis zum 1. Januar 2024 geltenden Fassung unter Angabe ihrer Gesellschafter in der Gesellschafterliste eingetragen ist, gilt als Veränderung im Sinne des § 40 Absatz 1 Satz 1 und 3 des Gesetzes betreffend die Gesellschaften mit beschränkter Haftung auch eine Veränderung in ihrem Gesellschafterbestand.</w:t>
      </w:r>
    </w:p>
    <w:p>
      <w:r>
        <w:rPr>
          <w:color w:val="555555"/>
          <w:sz w:val="17"/>
        </w:rPr>
        <w:t xml:space="preserve">Zitiervorschlag: § 12 EGGmbHG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https://recht.nulegal.eu/gesetze/EGGmbHG/12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