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EGGenTDurchfG — Bußgeldvorschriften</w:t>
      </w:r>
    </w:p>
    <w:p>
      <w:r>
        <w:rPr>
          <w:color w:val="555555"/>
          <w:sz w:val="18"/>
        </w:rPr>
        <w:t xml:space="preserve">EG-Gentechnik-Durchführungsgesetz</w:t>
      </w:r>
    </w:p>
    <w:p>
      <w:r>
        <w:rPr>
          <w:color w:val="555555"/>
          <w:sz w:val="18"/>
        </w:rPr>
        <w:t xml:space="preserve">Stand: 10.06.2019 (konsolidierte Textfassung, kein amtliches Inkrafttretensdatum)</w:t>
      </w:r>
    </w:p>
    <w:p>
      <w:r>
        <w:t xml:space="preserve">(1) Ordnungswidrig handelt, wer eine der in § 6 Abs. 3a bezeichneten Handlungen fahrlässig begeht.</w:t>
      </w:r>
    </w:p>
    <w:p>
      <w:r>
        <w:t xml:space="preserve">(2) Ordnungswidrig handelt, wer gegen die Verordnung (EG) Nr. 1829/2003 verstößt, indem er vorsätzlich oder fahrlässig</w:t>
      </w:r>
    </w:p>
    <w:p>
      <w:pPr>
        <w:ind w:left="420"/>
      </w:pPr>
      <w:r>
        <w:t xml:space="preserve">1. entgegen Artikel 8 Abs. 1 Buchstabe a oder b, jeweils in Verbindung mit Abs. 2 Satz 1, oder Artikel 20 Abs. 1 Buchstabe a oder b, jeweils in Verbindung mit Abs. 2 Satz 1, für ein dort genanntes Erzeugnis die erforderliche Meldung nicht, nicht richtig, nicht vollständig oder nicht rechtzeitig macht,</w:t>
      </w:r>
    </w:p>
    <w:p>
      <w:pPr>
        <w:ind w:left="420"/>
      </w:pPr>
      <w:r>
        <w:t xml:space="preserve">2. entgegen Artikel 9 Abs. 1 Satz 2 oder Artikel 21 Abs. 1 Satz 2 nicht sicherstellt, dass eine Beobachtung durchgeführt wird, oder einen Bericht nicht, nicht richtig oder nicht rechtzeitig vorlegt,</w:t>
      </w:r>
    </w:p>
    <w:p>
      <w:pPr>
        <w:ind w:left="420"/>
      </w:pPr>
      <w:r>
        <w:t xml:space="preserve">3. entgegen Artikel 9 Abs. 3 Satz 1 oder Artikel 21 Abs. 3 Satz 1 eine dort genannte Information nicht, nicht richtig, nicht vollständig oder nicht rechtzeitig übermittelt,</w:t>
      </w:r>
    </w:p>
    <w:p>
      <w:pPr>
        <w:ind w:left="420"/>
      </w:pPr>
      <w:r>
        <w:t xml:space="preserve">4. ein in Artikel 12 Abs. 1 genanntes Lebensmittel, bei dem eine Kennzeichnungsanforderung nach Artikel 13 Abs. 1 oder Abs. 2 Buchstabe a nicht erfüllt ist, in Verkehr bringt oder</w:t>
      </w:r>
    </w:p>
    <w:p>
      <w:pPr>
        <w:ind w:left="420"/>
      </w:pPr>
      <w:r>
        <w:t xml:space="preserve">5. entgegen Artikel 25 Abs. 2 Satz 1 in Verbindung mit Satz 2 Buchstabe a, b oder c ein dort genanntes Futtermittel in Verkehr bringt.</w:t>
      </w:r>
    </w:p>
    <w:p>
      <w:r>
        <w:t xml:space="preserve">(3) Ordnungswidrig handelt, wer gegen die Verordnung (EG) Nr. 1830/2003 verstößt, indem er vorsätzlich oder fahrlässig</w:t>
      </w:r>
    </w:p>
    <w:p>
      <w:pPr>
        <w:ind w:left="420"/>
      </w:pPr>
      <w:r>
        <w:t xml:space="preserve">1. entgegen Artikel 4 Abs. 1 oder Abs. 2 oder Artikel 5 Abs. 1 nicht gewährleistet, dass dem Beteiligten, der das Produkt bezieht, die dort genannten Angaben übermittelt werden,</w:t>
      </w:r>
    </w:p>
    <w:p>
      <w:pPr>
        <w:ind w:left="420"/>
      </w:pPr>
      <w:r>
        <w:t xml:space="preserve">2. entgegen Artikel 4 Abs. 4 oder Artikel 5 Abs. 2 nicht über ein dort genanntes System oder Verfahren verfügt oder</w:t>
      </w:r>
    </w:p>
    <w:p>
      <w:pPr>
        <w:ind w:left="420"/>
      </w:pPr>
      <w:r>
        <w:t xml:space="preserve">3. entgegen Artikel 4 Abs. 6 Satz 1 nicht sicherstellt, dass eine dort genannte Angabe auf dem Etikett, dem Behältnis oder im Zusammenhang mit der Darbietung des Produkts erscheint.</w:t>
      </w:r>
    </w:p>
    <w:p>
      <w:r>
        <w:t xml:space="preserve">(4) Ordnungswidrig handelt, wer gegen die Verordnung (EG) Nr. 1946/2003 verstößt, indem er vorsätzlich oder fahrlässig</w:t>
      </w:r>
    </w:p>
    <w:p>
      <w:pPr>
        <w:ind w:left="420"/>
      </w:pPr>
      <w:r>
        <w:t xml:space="preserve">1. entgegen Artikel 6 Satz 1 eine dort genannte Unterlage nicht oder nicht mindestens fünf Jahre aufbewahrt oder eine Kopie der dort genannten Unterlagen nicht oder nicht unverzüglich nach Eingang der Entscheidung des Einfuhrstaats dem Bundesamt für Verbraucherschutz und Lebensmittelsicherheit oder der Europäischen Kommission übermittelt oder</w:t>
      </w:r>
    </w:p>
    <w:p>
      <w:pPr>
        <w:ind w:left="420"/>
      </w:pPr>
      <w:r>
        <w:t xml:space="preserve">2. entgegen Artikel 12 Abs. 1 in Verbindung mit Abs. 2 Satz 1, Abs. 3 oder Abs. 4 nicht sicherstellt, dass die dort genannten Informationen und Erklärungen in den Begleitpapieren enthalten sind und dem Importeur übermittelt werden.</w:t>
      </w:r>
    </w:p>
    <w:p>
      <w:r>
        <w:t xml:space="preserve">(5) Ordnungswidrig handelt, wer einer Rechtsverordnung nach § 5a Abs. 1 oder einer vollziehbaren Anordnung auf Grund einer solchen Rechtsverordnung zuwiderhandelt, soweit die Rechtsverordnung für einen bestimmten Tatbestand auf diese Bußgeldvorschrift verweist.</w:t>
      </w:r>
    </w:p>
    <w:p>
      <w:r>
        <w:t xml:space="preserve">(6) Ordnungswidrig handelt, wer vorsätzlich oder fahrlässig</w:t>
      </w:r>
    </w:p>
    <w:p>
      <w:pPr>
        <w:ind w:left="420"/>
      </w:pPr>
      <w:r>
        <w:t xml:space="preserve">1. entgegen § 3a Abs. 1 Satz 2 eine Angabe verwendet,</w:t>
      </w:r>
    </w:p>
    <w:p>
      <w:pPr>
        <w:ind w:left="420"/>
      </w:pPr>
      <w:r>
        <w:t xml:space="preserve">2. entgegen § 3b Satz 1 einen dort genannten Nachweis nicht, nicht richtig oder nicht vollständig führt oder</w:t>
      </w:r>
    </w:p>
    <w:p>
      <w:pPr>
        <w:ind w:left="420"/>
      </w:pPr>
      <w:r>
        <w:t xml:space="preserve">3. entgegen § 3b Satz 3 ein Lebensmittel kennzeichnet.</w:t>
      </w:r>
    </w:p>
    <w:p>
      <w:r>
        <w:t xml:space="preserve">(7) Die Ordnungswidrigkeit kann in den Fällen der Absätze 1 und 6 Nr. 2 und 3 mit einer Geldbuße bis zu zwanzigtausend Euro, in den übrigen Fällen mit einer Geldbuße bis zu fünfzigtausend Euro geahndet werden.</w:t>
      </w:r>
    </w:p>
    <w:p>
      <w:r>
        <w:rPr>
          <w:color w:val="555555"/>
          <w:sz w:val="17"/>
        </w:rPr>
        <w:t xml:space="preserve">Zitiervorschlag: § 7 EGGenTDurchfG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https://recht.nulegal.eu/gesetze/EGGenTDurchfG/7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