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EGGenTDurchfG — Strafvorschriften</w:t>
      </w:r>
    </w:p>
    <w:p>
      <w:r>
        <w:rPr>
          <w:color w:val="555555"/>
          <w:sz w:val="18"/>
        </w:rPr>
        <w:t xml:space="preserve">EG-Gentechnik-Durchführungsgesetz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gegen die Verordnung (EG) Nr. 1829/2003 verstößt, indem er</w:t>
      </w:r>
    </w:p>
    <w:p>
      <w:pPr>
        <w:ind w:left="420"/>
      </w:pPr>
      <w:r>
        <w:t xml:space="preserve">1. entgegen Artikel 4 Abs. 2 einen dort genannten genetisch veränderten Organismus oder ein dort genanntes Lebensmittel in den Verkehr bringt oder</w:t>
      </w:r>
    </w:p>
    <w:p>
      <w:pPr>
        <w:ind w:left="420"/>
      </w:pPr>
      <w:r>
        <w:t xml:space="preserve">2. entgegen Artikel 16 Abs. 2 ein dort genanntes Erzeugnis in den Verkehr bringt, verwendet oder verarbeitet.</w:t>
      </w:r>
    </w:p>
    <w:p>
      <w:r>
        <w:t xml:space="preserve">(2) Mit Freiheitsstrafe bis zu drei Jahren oder mit Geldstrafe wird bestraft, wer gegen die Verordnung (EG) Nr. 1946/2003 verstößt, indem er</w:t>
      </w:r>
    </w:p>
    <w:p>
      <w:pPr>
        <w:ind w:left="420"/>
      </w:pPr>
      <w:r>
        <w:t xml:space="preserve">1. ohne Zustimmung nach Artikel 5 Abs. 1 Satz 2 einen genetisch veränderten Organismus grenzüberschreitend verbringt oder</w:t>
      </w:r>
    </w:p>
    <w:p>
      <w:pPr>
        <w:ind w:left="420"/>
      </w:pPr>
      <w:r>
        <w:t xml:space="preserve">2. entgegen Artikel 10 Abs. 3 Satz 2 einen genetisch veränderten Organismus ausführt.</w:t>
      </w:r>
    </w:p>
    <w:p>
      <w:r>
        <w:t xml:space="preserve">(3) Mit Freiheitsstrafe von drei Monaten bis zu fünf Jahren wird bestraft, wer durch eine</w:t>
      </w:r>
    </w:p>
    <w:p>
      <w:pPr>
        <w:ind w:left="420"/>
      </w:pPr>
      <w:r>
        <w:t xml:space="preserve">1. in Absatz 1 oder Absatz 2 Nr. 2 oder</w:t>
      </w:r>
    </w:p>
    <w:p>
      <w:pPr>
        <w:ind w:left="420"/>
      </w:pPr>
      <w:r>
        <w:t xml:space="preserve">2. in Absatz 2 Nr. 1</w:t>
      </w:r>
    </w:p>
    <w:p>
      <w:r>
        <w:t xml:space="preserve">bezeichnete Handlung Leib oder Leben eines anderen, fremde Sachen von bedeutendem Wert oder Bestandteile des Naturhaushalts von erheblicher ökologischer Bedeutung gefährdet.</w:t>
      </w:r>
    </w:p>
    <w:p>
      <w:r>
        <w:t xml:space="preserve">(3a) Mit Freiheitsstrafe bis zu einem Jahr oder mit Geldstrafe wird bestraft, wer entgegen § 3a Abs. 1 Satz 1 ein Lebensmittel in den Verkehr bringt oder für ein Lebensmittel wirbt.</w:t>
      </w:r>
    </w:p>
    <w:p>
      <w:r>
        <w:t xml:space="preserve">(4) In den Fällen der Absätze 1 bis 3 ist der Versuch strafbar.</w:t>
      </w:r>
    </w:p>
    <w:p>
      <w:r>
        <w:t xml:space="preserve">(5) Wer in den Fällen des Absatzes 1 oder des Absatzes 2 Nr. 2 fahrlässig handelt, wird mit Freiheitsstrafe bis zu einem Jahr oder mit Geldstrafe bestraft.</w:t>
      </w:r>
    </w:p>
    <w:p>
      <w:r>
        <w:t xml:space="preserve">(6) Wer in den Fällen des Absatzes 3 die Gefahr fahrlässig verursacht, wird mit Freiheitsstrafe bis zu fünf Jahren oder mit Geldstrafe bestraft.</w:t>
      </w:r>
    </w:p>
    <w:p>
      <w:r>
        <w:t xml:space="preserve">(7) Wer in den Fällen des Absatzes 3 Nr. 1 fahrlässig handelt und die Gefahr fahrlässig verursacht, wird mit Freiheitsstrafe bis zu drei Jahren oder mit Geldstrafe bestraft.</w:t>
      </w:r>
    </w:p>
    <w:p>
      <w:r>
        <w:t xml:space="preserve">(8) Das Gericht kann die Strafe nach seinem Ermessen mildern (§ 49 Abs. 2 des Strafgesetzbuches) oder von Strafe absehen, wenn der Täter nicht zu erwerbswirtschaftlichen Zwecken handelt.</w:t>
      </w:r>
    </w:p>
    <w:p>
      <w:r>
        <w:rPr>
          <w:color w:val="555555"/>
          <w:sz w:val="17"/>
        </w:rPr>
        <w:t xml:space="preserve">Zitiervorschlag: § 6 EGGenTDurchfG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https://recht.nulegal.eu/gesetze/EGGenTDurchfG/6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