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EGGenTDurchfG — Beteiligung anderer Behörden des Bundes</w:t>
      </w:r>
    </w:p>
    <w:p>
      <w:r>
        <w:rPr>
          <w:color w:val="555555"/>
          <w:sz w:val="18"/>
        </w:rPr>
        <w:t xml:space="preserve">EG-Gentechnik-Durchführungsgesetz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Stellungnahmen nach § 1 Abs. 1 Nr. 2 ergehen im Benehmen mit dem Robert Koch-Institut und dem Bundesinstitut für Risikobewertung.</w:t>
      </w:r>
    </w:p>
    <w:p>
      <w:r>
        <w:t xml:space="preserve">(2) Stellungnahmen nach § 1 Abs. 1 Nr. 3 und 4 ergehen im Benehmen mit dem Bundesamt für Naturschutz und dem Robert Koch-Institut. Vor der Abgabe einer Stellungnahme nach Satz 1 ist eine Stellungnahme des Bundesinstituts für Risikobewertung, des Julius Kühn-Instituts, Bundesforschungsinstitut für Kulturpflanzen, und, soweit gentechnisch veränderte Wirbeltiere oder gentechnisch veränderte Mikroorganismen, die an Wirbeltieren angewendet werden, betroffen sind, des Friedrich-Loeffler-Instituts, Bundesforschungsinstitut für Tiergesundheit, einzuholen.</w:t>
      </w:r>
    </w:p>
    <w:p>
      <w:r>
        <w:rPr>
          <w:color w:val="555555"/>
          <w:sz w:val="17"/>
        </w:rPr>
        <w:t xml:space="preserve">Zitiervorschlag: § 3 EGGenTDurchfG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https://recht.nulegal.eu/gesetze/EGGenTDurchfG/3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