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EGGenTDurchfG — Aufgaben des Bundesamtes für Verbraucherschutz und Lebensmittelsicherheit</w:t>
      </w:r>
    </w:p>
    <w:p>
      <w:r>
        <w:rPr>
          <w:color w:val="555555"/>
          <w:sz w:val="18"/>
        </w:rPr>
        <w:t xml:space="preserve">EG-Gentechnik-Durchführungsgesetz</w:t>
      </w:r>
    </w:p>
    <w:p>
      <w:r>
        <w:rPr>
          <w:color w:val="555555"/>
          <w:sz w:val="18"/>
        </w:rPr>
        <w:t xml:space="preserve">Stand: 10.06.2019 (konsolidierte Textfassung, kein amtliches Inkrafttretensdatum)</w:t>
      </w:r>
    </w:p>
    <w:p>
      <w:r>
        <w:t xml:space="preserve">(1) Das Bundesamt für Verbraucherschutz und Lebensmittelsicherheit ist zuständig für</w:t>
      </w:r>
    </w:p>
    <w:p>
      <w:pPr>
        <w:ind w:left="420"/>
      </w:pPr>
      <w:r>
        <w:t xml:space="preserve">1. die Entgegennahme, Bearbeitung und Weiterleitung von Anträgen nach Artikel 5, 6 Abs. 2, Artikel 9 Abs. 2, Artikel 17, 18 Abs. 2 oder Artikel 21 Abs. 2 der Verordnung (EG) Nr. 1829/2003 des Europäischen Parlaments und des Rates vom 22. September 2003 über genetisch veränderte Lebensmittel und Futtermittel (ABl. EU Nr. L 268 S. 1), soweit die Mitgliedstaaten im Rahmen des Zulassungsverfahrens zuständig sind,</w:t>
      </w:r>
    </w:p>
    <w:p>
      <w:pPr>
        <w:ind w:left="420"/>
      </w:pPr>
      <w:r>
        <w:t xml:space="preserve">2. die Stellungnahme nach Artikel 6 Abs. 3 Buchstabe b oder Artikel 18 Abs. 3 Buchstabe b der Verordnung (EG) Nr. 1829/2003,</w:t>
      </w:r>
    </w:p>
    <w:p>
      <w:pPr>
        <w:ind w:left="420"/>
      </w:pPr>
      <w:r>
        <w:t xml:space="preserve">3. die Stellungnahme nach Artikel 6 Abs. 3 Buchstabe c oder Artikel 18 Abs. 3 Buchstabe c der Verordnung (EG) Nr. 1829/2003,</w:t>
      </w:r>
    </w:p>
    <w:p>
      <w:pPr>
        <w:ind w:left="420"/>
      </w:pPr>
      <w:r>
        <w:t xml:space="preserve">4. die Stellungnahme nach Artikel 6 Abs. 4 Satz 3 oder Artikel 18 Abs. 4 Satz 3 der Verordnung (EG) Nr. 1829/2003 und</w:t>
      </w:r>
    </w:p>
    <w:p>
      <w:pPr>
        <w:ind w:left="420"/>
      </w:pPr>
      <w:r>
        <w:t xml:space="preserve">5. das Ersuchen nach Artikel 10 Abs. 1 Satz 1 oder Artikel 22 Abs. 1 Satz 1 der Verordnung (EG) Nr. 1829/2003 an die Europäische Behörde für Lebensmittelsicherheit.</w:t>
      </w:r>
    </w:p>
    <w:p>
      <w:r>
        <w:t xml:space="preserve">(2) Das Bundesamt für Verbraucherschutz und Lebensmittelsicherheit kann bis zum Erlass einer Entscheidung oder eines Beschlusses der Europäischen Gemeinschaften oder der Europäischen Union unter den Voraussetzungen des Artikels 34 der Verordnung (EG) Nr. 1829/2003 in Verbindung mit Artikel 54 der Verordnung (EG) Nr. 178/2002 des Europäischen Parlaments und des Rates vom 28. Januar 2002 zur Festlegung der allgemeinen Grundsätze und Anforderungen des Lebensmittelrechts, zur Errichtung der Europäischen Behörde für Lebensmittelsicherheit und zur Festlegung von Verfahren zur Lebensmittelsicherheit (ABl. EG Nr. L 31 S. 1) das vorläufige Ruhen einer im Rahmen der Verordnung (EG) Nr. 1829/2003 erteilten Zulassung ganz oder teilweise anordnen.</w:t>
      </w:r>
    </w:p>
    <w:p>
      <w:r>
        <w:t xml:space="preserve">(3) Das Bundesamt für Verbraucherschutz und Lebensmittelsicherheit ist Kontaktstelle im Sinne des Artikels 17 Abs. 2 des Protokolls von Cartagena über die biologische Sicherheit zum Übereinkommen über die biologische Vielfalt vom 29. Januar 2000 (BGBl. 2003 II S. 1508) und des Artikels 15 Abs. 1 Buchstabe b der Verordnung (EG) Nr. 1946/2003 des Europäischen Parlaments und des Rates vom 15. Juli 2003 über grenzüberschreitende Verbringungen genetisch veränderter Organismen (ABl. EU Nr. L 287 S. 1). Es nimmt außerdem die Aufgaben nach Artikel 5 Abs. 2, Artikel 6, 9, 14 Abs. 2 und Artikel 15 Abs. 1 der Verordnung (EG) Nr. 1946/2003 wahr und erfüllt sonstige Mitteilungspflichten nach dem Protokoll von Cartagena über die biologische Sicherheit zum Übereinkommen über die biologische Vielfalt gegenüber der Informationsstelle für biologische Sicherheit nach Artikel 20 des Protokolls von Cartagena über die biologische Sicherheit zum Übereinkommen über die biologische Vielfalt, soweit die Mitgliedstaaten zuständig sind.</w:t>
      </w:r>
    </w:p>
    <w:p>
      <w:r>
        <w:rPr>
          <w:color w:val="555555"/>
          <w:sz w:val="17"/>
        </w:rPr>
        <w:t xml:space="preserve">Zitiervorschlag: § 1 EGGenTDurchfG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https://recht.nulegal.eu/gesetze/EGGenTDurchfG/1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