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EGFinSchAProtG</w:t>
      </w:r>
    </w:p>
    <w:p>
      <w:r>
        <w:rPr>
          <w:color w:val="555555"/>
          <w:sz w:val="18"/>
        </w:rPr>
        <w:t xml:space="preserve">EG-Finanzschutz-Auslegungsprotokollgesetz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EGFinSchAProtG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https://recht.nulegal.eu/gesetze/EGFinSchAProtG/eingangsformel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