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EGFinSchAProtG</w:t>
      </w:r>
    </w:p>
    <w:p>
      <w:r>
        <w:rPr>
          <w:color w:val="555555"/>
          <w:sz w:val="18"/>
        </w:rPr>
        <w:t xml:space="preserve">EG-Finanzschutz-Auslegungsprotokollgesetz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Ausnahme des Artikels 2 am Tage seiner Verkündung in Kraft. Artikel 2 tritt an dem Tag in Kraft, an dem das Protokoll nach seinem Artikel 4 Abs. 3 für die Bundesrepublik Deutschland in Kraft tritt. Der Tag des Inkrafttretens ist im Bundesgesetzblatt bekannt zu geben.</w:t>
      </w:r>
    </w:p>
    <w:p>
      <w:r>
        <w:rPr>
          <w:color w:val="555555"/>
          <w:sz w:val="17"/>
        </w:rPr>
        <w:t xml:space="preserve">Zitiervorschlag: Art 3 EGFinSchAProtG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https://recht.nulegal.eu/gesetze/EGFinSchAProtG/3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