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EGBusDV 2012 — Anwendungsbereich</w:t>
      </w:r>
    </w:p>
    <w:p>
      <w:r>
        <w:rPr>
          <w:color w:val="555555"/>
          <w:sz w:val="18"/>
        </w:rPr>
        <w:t xml:space="preserve">EG-Bus-Durchführungsverordnung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die Durchführung</w:t>
      </w:r>
    </w:p>
    <w:p>
      <w:pPr>
        <w:ind w:left="420"/>
      </w:pPr>
      <w:r>
        <w:t xml:space="preserve">1. der Verordnung (EG) Nr. 1073/2009 des Europäischen Parlaments und des Rates vom 21. Oktober 2009 über gemeinsame Regeln für den Zugang zum grenzüberschreitenden Personenkraftverkehrsmarkt und zur Änderung der Verordnung (EG) Nr. 561/2006 (Neufassung) (ABl. L 300 vom 14.11.2009, S. 88),</w:t>
      </w:r>
    </w:p>
    <w:p>
      <w:pPr>
        <w:ind w:left="420"/>
      </w:pPr>
      <w:r>
        <w:t xml:space="preserve">2. der Verordnung (EG) Nr. 2121/98 der Kommission vom 2. Oktober 1998 mit Durchführungsvorschriften zu den Verordnungen (EWG) Nr. 684/92 und (EG) Nr. 12/98 des Rates hinsichtlich der Beförderungsdokumente für den Personenverkehr mit Kraftomnibussen (ABl. L 268 vom 3.10.1998, S. 10),</w:t>
      </w:r>
    </w:p>
    <w:p>
      <w:pPr>
        <w:ind w:left="420"/>
      </w:pPr>
      <w:r>
        <w:t xml:space="preserve">3. des Abkommens zwischen der Europäischen Gemeinschaft und der Schweizerischen Eidgenossenschaft über den Güter- und Personenverkehr auf Schiene und Straße (ABl. L 114 vom 30.4.2002, S. 91) (Abkommen EG/Schweiz) und</w:t>
      </w:r>
    </w:p>
    <w:p>
      <w:pPr>
        <w:ind w:left="420"/>
      </w:pPr>
      <w:r>
        <w:t xml:space="preserve">4. des Übereinkommens über die Personenbeförderung im grenzüberschreitenden Gelegenheitsverkehr mit Omnibussen (Interbus-Übereinkommen) (ABl. L 321 vom 26.11.2002, S. 13).</w:t>
      </w:r>
    </w:p>
    <w:p>
      <w:r>
        <w:rPr>
          <w:color w:val="555555"/>
          <w:sz w:val="17"/>
        </w:rPr>
        <w:t xml:space="preserve">Zitiervorschlag: § 1 EGBusDV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https://recht.nulegal.eu/gesetze/EGBusDV%202012/1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EGBusDV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