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EG-PKHVV</w:t>
      </w:r>
    </w:p>
    <w:p>
      <w:r>
        <w:rPr>
          <w:color w:val="555555"/>
          <w:sz w:val="18"/>
        </w:rPr>
        <w:t xml:space="preserve">EG-Prozesskostenhilfevordruckverordnung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Auf Grund des § 1077 Abs. 2 der Zivilprozessordnung, der durch Artikel 1 Nr. 4 des Gesetzes vom 15. Dezember 2004 (BGBl. I S. 3392) eingefügt worden ist, verordnet das Bundesministerium der Justiz:</w:t>
      </w:r>
    </w:p>
    <w:p>
      <w:r>
        <w:rPr>
          <w:color w:val="555555"/>
          <w:sz w:val="17"/>
        </w:rPr>
        <w:t xml:space="preserve">Zitiervorschlag: Eingangsformel EG-PKHVV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https://recht.nulegal.eu/gesetze/EG-PKHVV/eingangsformel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