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EG-PKHVV — Inkrafttreten</w:t>
      </w:r>
    </w:p>
    <w:p>
      <w:r>
        <w:rPr>
          <w:color w:val="555555"/>
          <w:sz w:val="18"/>
        </w:rPr>
        <w:t xml:space="preserve">EG-Prozesskostenhilfevordruckverordnung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 EG-PKHVV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https://recht.nulegal.eu/gesetze/EG-PKHVV/2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