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EG-ObstGemüseV — Befreiungen</w:t>
      </w:r>
    </w:p>
    <w:p>
      <w:r>
        <w:rPr>
          <w:color w:val="555555"/>
          <w:sz w:val="18"/>
        </w:rPr>
        <w:t xml:space="preserve">Verordnung über EU-Normen für Obst und Gemüse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Äpfel und Birnen sind unter Berücksichtigung des Artikels 4 Absatz 3 der Durchführungsverordnung (EU) Nr. 543/2011 der Kommission vom 7. Juni 2011 mit Durchführungsbestimmungen zur Verordnung (EG) Nr. 1234/2007 des Rates für die Sektoren Obst und Gemüse und Verarbeitungserzeugnisse aus Obst und Gemüse (ABl. L 157 vom 15.6.2011, S. 1), unter den dort genannten Bedingungen von der Verpflichtung zur Einhaltung der speziellen Vermarktungsnormen befreit, sofern die Bedingungen der allgemeinen Vermarktungsnorm eingehalten werden.</w:t>
      </w:r>
    </w:p>
    <w:p>
      <w:r>
        <w:rPr>
          <w:color w:val="555555"/>
          <w:sz w:val="17"/>
        </w:rPr>
        <w:t xml:space="preserve">Zitiervorschlag: § 2 EG-ObstGemüseV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https://recht.nulegal.eu/gesetze/EG-ObstGem%C3%BCseV/2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